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sz w:val="28"/>
          <w:szCs w:val="28"/>
        </w:rPr>
      </w:pPr>
      <w:r w:rsidDel="00000000" w:rsidR="00000000" w:rsidRPr="00000000">
        <w:rPr>
          <w:b w:val="1"/>
          <w:bCs w:val="1"/>
          <w:sz w:val="28"/>
          <w:szCs w:val="28"/>
          <w:rtl w:val="0"/>
        </w:rPr>
        <w:t xml:space="preserve">Tıbbi Biyokimya Uzmanlık Eğitiminde</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Kurumsal Yeterlik Ölçütleri</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Amaç ve Hedefler</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Eğiticiler</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Eğitim Alt Yapı ve Olanakları</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92" w:right="0" w:hanging="432"/>
        <w:jc w:val="left"/>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Uygulamalı Eğitim Olanakları</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92" w:right="0" w:hanging="432"/>
        <w:jc w:val="left"/>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Kuramsal Eğitim Olanakları</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92" w:right="0" w:hanging="432"/>
        <w:jc w:val="left"/>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Araştırma Eğitimi Olanakları</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Eğitim Programı</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Ölçme ve Değerlendirme</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Uzmanlık Öğrencileri</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Eğitim Programının İzlenmesi ve Geliştirilmesi</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Yönetim ve Yürütme</w:t>
      </w:r>
      <w:r w:rsidDel="00000000" w:rsidR="00000000" w:rsidRPr="00000000">
        <w:rPr>
          <w:rtl w:val="0"/>
        </w:rPr>
      </w:r>
    </w:p>
    <w:p w:rsidR="00000000" w:rsidDel="00000000" w:rsidP="00000000" w:rsidRDefault="00000000" w:rsidRPr="00000000" w14:paraId="0000000E">
      <w:pPr>
        <w:spacing w:line="360" w:lineRule="auto"/>
        <w:ind w:left="360" w:firstLine="0"/>
        <w:rPr>
          <w:b w:val="1"/>
          <w:bCs w:val="1"/>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AMAÇ VE HEDEFLER</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360" w:lineRule="auto"/>
        <w:ind w:left="567" w:right="0" w:hanging="567"/>
        <w:jc w:val="left"/>
        <w:rPr>
          <w:rFonts w:ascii="Calibri" w:cs="Calibri" w:eastAsia="Calibri" w:hAnsi="Calibri"/>
          <w:b w:val="0"/>
          <w:bCs w:val="0"/>
          <w:i w:val="1"/>
          <w:iCs w:val="1"/>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 uzmanlık eğitiminin amaç ve hedeflerini tanımlamış olmalıdır. </w:t>
      </w:r>
      <w:r w:rsidDel="00000000" w:rsidR="00000000" w:rsidRPr="00000000">
        <w:rPr>
          <w:rtl w:val="0"/>
        </w:rPr>
      </w:r>
    </w:p>
    <w:p w:rsidR="00000000" w:rsidDel="00000000" w:rsidP="00000000" w:rsidRDefault="00000000" w:rsidRPr="00000000" w14:paraId="00000011">
      <w:pPr>
        <w:spacing w:line="360" w:lineRule="auto"/>
        <w:ind w:left="567" w:firstLine="0"/>
        <w:rPr>
          <w:i w:val="1"/>
          <w:iCs w:val="1"/>
        </w:rPr>
      </w:pPr>
      <w:r w:rsidDel="00000000" w:rsidR="00000000" w:rsidRPr="00000000">
        <w:rPr>
          <w:i w:val="1"/>
          <w:iCs w:val="1"/>
          <w:rtl w:val="0"/>
        </w:rPr>
        <w:t xml:space="preserve">Eğitim kurumunda, tıbbi biyokimya uzmanlık eğitiminin amaç ve hedefleri,  amaç ve hedeflerin ne zaman belirlendiği ve güncelleme yapıldıysa zamanı belirtilmeli ve belgelenmelidir. Bu amaç ve hedefler; eğitim sorumlusu, diğer eğiticiler ve uzmanlık öğrencileri tarafından özümsenmiş olmalıdır. </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360"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 uzmanlık eğitim programının amaç ve hedeflerini ve eğitim sürecini, tıbbi biyokimya uzmanının hastalıkların tanı ve izlemindeki görev ve sorumluluklarını yerine getirmesine yönelik yetkinlikleri kapsayacak şekilde tanımlamış olmalıdır. </w:t>
      </w:r>
      <w:r w:rsidDel="00000000" w:rsidR="00000000" w:rsidRPr="00000000">
        <w:rPr>
          <w:rtl w:val="0"/>
        </w:rPr>
      </w:r>
    </w:p>
    <w:p w:rsidR="00000000" w:rsidDel="00000000" w:rsidP="00000000" w:rsidRDefault="00000000" w:rsidRPr="00000000" w14:paraId="00000013">
      <w:pPr>
        <w:spacing w:line="360" w:lineRule="auto"/>
        <w:ind w:left="567" w:firstLine="0"/>
        <w:rPr>
          <w:i w:val="1"/>
          <w:iCs w:val="1"/>
        </w:rPr>
      </w:pPr>
      <w:r w:rsidDel="00000000" w:rsidR="00000000" w:rsidRPr="00000000">
        <w:rPr>
          <w:i w:val="1"/>
          <w:iCs w:val="1"/>
          <w:rtl w:val="0"/>
        </w:rPr>
        <w:t xml:space="preserve">Eğitim programının amaç ve hedefleri, uzmanlık öğrencisinin kazanması beklenen bilgi, beceri ve tutumları içerir ve tıbbi biyokimya uzmanından beklenen yeterlik ve yetkinlikleri tanımlar. Bu amaç ve hedefler, tıbbi biyokimya uzmanının mesleksel ve toplumsal beklentileri karşılamasına yönelik tüm yetkinlikleri kapsamalıdır. Tanımlanan yetkinlikler; TUKMOS “Tıbbi Biyokimya Uzmanlık Eğitimi Çekirdek Müfredatı”nda yer alan “Klinik Yetkinlikler” ve “Girişimsel Yetkinlikler” i kapsamalıdır. Tıbbi Biyokimya uzmanlık eğitimi ile amaçlanan yetkinlikler; hasta hakları, sağlık hukuku, hasta ve diğer sağlık çalışanları ile iletişim, yöneticilik, ekip çalışması, analitik düşünme, sürekli mesleki gelişim, toplumsal ve etik öğeleri de içermelidir.  </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 uyguladığı eğitim programının TUKMOS “Tıbbi Biyokimya Uzmanlık Eğitimi Çekirdek Müfredatı” na uygunluğunu sağlamalıdır. Buna ek olarak eğitim kurumu,  amaç ve hedefleri doğrultusunda eğitim programını genişletebilir, rotasyon ve seçmeli programlar ekleyebilir.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Uzmanlık eğitim programının amaç ve hedefleri; eğiticiler ve uzmanlık öğrencisi temsilcisinden oluşan ve eğitim politikasını belirleyen bir kurul tarafından ulusal ve uluslararası meslek örgütlerinin ve uzmanların görüşleri göz önüne alınarak oluşturulmalıdır.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Uzmanlık eğitim programının amaç ve hedefleri, uzmanlık öğrencilerini eğitim sürecinde yeniliklere ve bilimsel gelişmeleri izlemeye ve uygulamaya özendirmelidir.  </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360" w:lineRule="auto"/>
        <w:ind w:left="567"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 uzmanlık eğitimi programının amaç ve hedeflerini eğiticiler ve uzmanlık öğrencilerinin her zaman ulaşabileceği şekilde yayınlamış olmalıdır. </w:t>
      </w:r>
      <w:r w:rsidDel="00000000" w:rsidR="00000000" w:rsidRPr="00000000">
        <w:rPr>
          <w:rtl w:val="0"/>
        </w:rPr>
      </w:r>
    </w:p>
    <w:p w:rsidR="00000000" w:rsidDel="00000000" w:rsidP="00000000" w:rsidRDefault="00000000" w:rsidRPr="00000000" w14:paraId="00000018">
      <w:pPr>
        <w:spacing w:line="360" w:lineRule="auto"/>
        <w:rPr>
          <w:smallCaps w:val="1"/>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Calibri" w:cs="Calibri" w:eastAsia="Calibri" w:hAnsi="Calibri"/>
          <w:b w:val="0"/>
          <w:bCs w:val="0"/>
          <w:i w:val="0"/>
          <w:iCs w:val="0"/>
          <w:smallCaps w:val="1"/>
          <w:strike w:val="0"/>
          <w:color w:val="000000"/>
          <w:sz w:val="22"/>
          <w:szCs w:val="22"/>
          <w:vertAlign w:val="baseline"/>
        </w:rPr>
      </w:pPr>
      <w:r w:rsidDel="00000000" w:rsidR="00000000" w:rsidRPr="00000000">
        <w:rPr>
          <w:rFonts w:ascii="Calibri" w:cs="Calibri" w:eastAsia="Calibri" w:hAnsi="Calibri"/>
          <w:b w:val="1"/>
          <w:bCs w:val="1"/>
          <w:i w:val="0"/>
          <w:iCs w:val="0"/>
          <w:smallCaps w:val="1"/>
          <w:strike w:val="0"/>
          <w:color w:val="000000"/>
          <w:sz w:val="22"/>
          <w:szCs w:val="22"/>
          <w:u w:val="none"/>
          <w:vertAlign w:val="baseline"/>
          <w:rtl w:val="0"/>
        </w:rPr>
        <w:t xml:space="preserve">EĞITICILER</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kurumunda eğiticilerin sayısı, eğitim alanın kişisel olarak yakından izlenmesini sağlamak ve yeterli düzeyde süpervizyonu temin etmek için eğitim alanların sayısıyla orantılı olmalıdır. Eğiticilerin sayısı ve niteliği TUKMOS “Tıbbi Biyokimya Uzmanlık Eğitimi Çekirdek Müfredatı” nın ve “Tıpta ve Diş Hekimliğinde Uzmanlık Eğitimi Yönetmeliği”nin gereklerini karşılamalıdır.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kurumunda eğiticilerin, uzmanlık eğitimi programına sistemli olarak katılmaları ve uzmanlık öğrencilerine mesleki, akademik ve sosyal danışmanlık vermeleri için gerekli düzenlemeler yapılmalıdır. Eğiticiler, uzmanlık öğrencileri ile sürekli ve düzenli iletişim içinde olmalıdır.  Öğretim etkinlikleri, eğiticilerin iş çizelgesinde sorumluluklar olarak yer almalıdır. </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360" w:lineRule="auto"/>
        <w:ind w:left="567" w:right="0" w:hanging="567"/>
        <w:jc w:val="both"/>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kurumunun, eğitici kadrolarının eğitici niteliklerini geliştirmeye yönelik program ve/veya düzenlemeleri bulunmalıdır. Eğiticilerin sürekli mesleki gelişim etkinliklerine katılımı için özendirme, yönetsel ve mümkünse ekonomik destek sağlanmalıdır. </w:t>
      </w:r>
      <w:r w:rsidDel="00000000" w:rsidR="00000000" w:rsidRPr="00000000">
        <w:rPr>
          <w:rtl w:val="0"/>
        </w:rPr>
      </w:r>
    </w:p>
    <w:p w:rsidR="00000000" w:rsidDel="00000000" w:rsidP="00000000" w:rsidRDefault="00000000" w:rsidRPr="00000000" w14:paraId="0000001D">
      <w:pPr>
        <w:spacing w:line="360" w:lineRule="auto"/>
        <w:rPr>
          <w:smallCaps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Calibri" w:cs="Calibri" w:eastAsia="Calibri" w:hAnsi="Calibri"/>
          <w:b w:val="0"/>
          <w:bCs w:val="0"/>
          <w:i w:val="0"/>
          <w:iCs w:val="0"/>
          <w:smallCaps w:val="1"/>
          <w:strike w:val="0"/>
          <w:color w:val="000000"/>
          <w:sz w:val="22"/>
          <w:szCs w:val="22"/>
          <w:vertAlign w:val="baseline"/>
        </w:rPr>
      </w:pPr>
      <w:r w:rsidDel="00000000" w:rsidR="00000000" w:rsidRPr="00000000">
        <w:rPr>
          <w:rFonts w:ascii="Calibri" w:cs="Calibri" w:eastAsia="Calibri" w:hAnsi="Calibri"/>
          <w:b w:val="1"/>
          <w:bCs w:val="1"/>
          <w:i w:val="0"/>
          <w:iCs w:val="0"/>
          <w:smallCaps w:val="1"/>
          <w:strike w:val="0"/>
          <w:color w:val="000000"/>
          <w:sz w:val="22"/>
          <w:szCs w:val="22"/>
          <w:u w:val="none"/>
          <w:vertAlign w:val="baseline"/>
          <w:rtl w:val="0"/>
        </w:rPr>
        <w:t xml:space="preserve">EĞİTİM ALT YAPI VE OLANAKLARI</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Calibri" w:cs="Calibri" w:eastAsia="Calibri" w:hAnsi="Calibri"/>
          <w:b w:val="0"/>
          <w:bCs w:val="0"/>
          <w:i w:val="0"/>
          <w:iCs w:val="0"/>
          <w:smallCaps w:val="1"/>
          <w:strike w:val="0"/>
          <w:color w:val="000000"/>
          <w:sz w:val="22"/>
          <w:szCs w:val="22"/>
          <w:vertAlign w:val="baseline"/>
        </w:rPr>
      </w:pPr>
      <w:r w:rsidDel="00000000" w:rsidR="00000000" w:rsidRPr="00000000">
        <w:rPr>
          <w:rFonts w:ascii="Calibri" w:cs="Calibri" w:eastAsia="Calibri" w:hAnsi="Calibri"/>
          <w:b w:val="0"/>
          <w:bCs w:val="0"/>
          <w:i w:val="0"/>
          <w:iCs w:val="0"/>
          <w:smallCaps w:val="1"/>
          <w:strike w:val="0"/>
          <w:color w:val="000000"/>
          <w:sz w:val="22"/>
          <w:szCs w:val="22"/>
          <w:u w:val="none"/>
          <w:vertAlign w:val="baseline"/>
          <w:rtl w:val="0"/>
        </w:rPr>
        <w:t xml:space="preserve">UYGULAMALI EĞİTİM  </w:t>
        <w:tab/>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34"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kurumunda, uzmanlık öğrencilerinin klinik ve girişimsel yetkinliklerini kazanabilecekleri uygulamalı eğitim ortamı sağlanmalıdır. Uygulamalı eğitim için temel ölçütler TUKMOS “Tıbbi Biyokimya Uzmanlık Eğitimi Çekirdek Müfredatı” na ve güncel mevzuata uygun olmalıdır.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pPr>
      <w:r w:rsidDel="00000000" w:rsidR="00000000" w:rsidRPr="00000000">
        <w:rPr>
          <w:rFonts w:ascii="Calibri" w:cs="Calibri" w:eastAsia="Calibri" w:hAnsi="Calibri"/>
          <w:b w:val="0"/>
          <w:bCs w:val="0"/>
          <w:i w:val="0"/>
          <w:iCs w:val="0"/>
          <w:smallCaps w:val="1"/>
          <w:strike w:val="0"/>
          <w:color w:val="000000"/>
          <w:sz w:val="22"/>
          <w:szCs w:val="22"/>
          <w:u w:val="none"/>
          <w:vertAlign w:val="baseline"/>
          <w:rtl w:val="0"/>
        </w:rPr>
        <w:t xml:space="preserve">KURAMSAL EĞITIM</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34"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Uzmanlık eğitimi programının uygulanabilmesi için eğitim ortamı hem öğretim elemanları hem de uzmanlık öğrencileri için yeterli olacak biçimde planlanmalıdır. </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993"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pPr>
      <w:r w:rsidDel="00000000" w:rsidR="00000000" w:rsidRPr="00000000">
        <w:rPr>
          <w:rFonts w:ascii="Calibri" w:cs="Calibri" w:eastAsia="Calibri" w:hAnsi="Calibri"/>
          <w:b w:val="0"/>
          <w:bCs w:val="0"/>
          <w:i w:val="0"/>
          <w:iCs w:val="0"/>
          <w:smallCaps w:val="1"/>
          <w:strike w:val="0"/>
          <w:color w:val="000000"/>
          <w:sz w:val="22"/>
          <w:szCs w:val="22"/>
          <w:u w:val="none"/>
          <w:vertAlign w:val="baseline"/>
          <w:rtl w:val="0"/>
        </w:rPr>
        <w:t xml:space="preserve">ARAŞTIRMA EĞITIMI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360" w:lineRule="auto"/>
        <w:ind w:left="1134"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 uzmanlık öğrencilerinin Tıbbi Biyokimya alanında temel ve uygulamalı araştırmaları eleştirel okuyup anlayabilecekleri ve yorumlayarak mesleki uygulamalarında kullanmayı öğrenebilecekleri düzeyde eğitim olanağı sunmalıdır. Bu amaca ulaşmak için ulusal ve uluslararası süreli yayınlara ulaşım olanağı sağlanmalıdır.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360" w:lineRule="auto"/>
        <w:ind w:left="1134" w:right="0" w:hanging="567"/>
        <w:jc w:val="left"/>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 her bir uzmanlık öğrencisine bireysel ya da bir ekibin içinde araştırma planlama ve uygulama fırsatı sağlamalı, araştırma süreçleri ve sonuçlarının paylaşılmasını, uzmanlık öğrencilerinin kongrelere katılımını ve araştırmalarını yayınlamalarını özendirecek yönetsel düzenlemeler yapmalı, bilimsel araştırmalara ve etkinliklere ekonomik destek bulmaları için yol gösterilmesini sağlamalıdır.  </w:t>
      </w:r>
      <w:r w:rsidDel="00000000" w:rsidR="00000000" w:rsidRPr="00000000">
        <w:rPr>
          <w:rtl w:val="0"/>
        </w:rPr>
      </w:r>
    </w:p>
    <w:p w:rsidR="00000000" w:rsidDel="00000000" w:rsidP="00000000" w:rsidRDefault="00000000" w:rsidRPr="00000000" w14:paraId="00000027">
      <w:pPr>
        <w:spacing w:line="360" w:lineRule="auto"/>
        <w:ind w:left="360" w:firstLine="348"/>
        <w:rPr>
          <w:smallCaps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Calibri" w:cs="Calibri" w:eastAsia="Calibri" w:hAnsi="Calibri"/>
          <w:b w:val="1"/>
          <w:bCs w:val="1"/>
          <w:i w:val="0"/>
          <w:iCs w:val="0"/>
          <w:smallCaps w:val="1"/>
          <w:strike w:val="0"/>
          <w:color w:val="000000"/>
          <w:sz w:val="22"/>
          <w:szCs w:val="22"/>
          <w:vertAlign w:val="baseline"/>
        </w:rPr>
      </w:pPr>
      <w:r w:rsidDel="00000000" w:rsidR="00000000" w:rsidRPr="00000000">
        <w:rPr>
          <w:rFonts w:ascii="Calibri" w:cs="Calibri" w:eastAsia="Calibri" w:hAnsi="Calibri"/>
          <w:b w:val="1"/>
          <w:bCs w:val="1"/>
          <w:i w:val="0"/>
          <w:iCs w:val="0"/>
          <w:smallCaps w:val="1"/>
          <w:strike w:val="0"/>
          <w:color w:val="000000"/>
          <w:sz w:val="22"/>
          <w:szCs w:val="22"/>
          <w:u w:val="none"/>
          <w:vertAlign w:val="baseline"/>
          <w:rtl w:val="0"/>
        </w:rPr>
        <w:t xml:space="preserve">EĞİTİM PROGRAMI</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kurumunda, TUKMOS “Tıbbi Biyokimya Uzmanlık Eğitimi çekirdek müfredatı”nı kapsayan kuruma özgü eğitim programı yazılı hale getirilmiş, eğitici ve öğrenciler ile paylaşılmış olmalıdır.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programında, uzmanlık öğrencilerinin klinik ve girişimsel yetkinliklere hangi düzeyde, hangi kıdemde ve hangi yöntemler kullanılarak ulaşacağı tanımlanmalıdır.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ortamı ve eğitim sürecinin organizasyonu, eşgüdümü, yönetimi ve değerlendirilmesindeki sorumluluk ve yetkiler tanımlanmalıdır. </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kurumunun kuramsal ve uygulamalı eğitim programı en az son dört yıldır </w:t>
      </w:r>
      <w:r w:rsidDel="00000000" w:rsidR="00000000" w:rsidRPr="00000000">
        <w:rPr>
          <w:rtl w:val="0"/>
        </w:rPr>
        <w:t xml:space="preserve">uygulandığı ve en az bir uzman verildiği belgelendirilmelidir.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programı, uzmanlık öğrencisinin kuramsal eğitimini bütünleyecek şekilde, sağlık hizmeti sunumu içinde, sorumluluğu paylaşarak ve gözlem altında uygulamalı eğitimini almasını sağlayacak biçimde yapılandırılmış olmalıdır.  Mesleksel gelişimde usta çırak ilişkisinin önemi vurgulanmalıdır.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programı, sağlık hizmetleri talebinden bağımsız olmalı, sunulan sağlık hizmeti eğitim için araç olarak kullanılmalı ve eğitim programını tamamlayıcı özellikte olmalıdır. </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Kuramsal eğitimin, sistemli ve yapılandırılmış olarak uygulandığı belgelendirilmelidir.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programında var olan dış rotasyonların hedefleri ve işleyişi, ilgili klinik ile işbirliği içinde düzenlenmeli ve yazılı hale getirilmelidir. </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Gerekli durumlarda, ulusal ya da uluslararası farklı kurumlarda rotasyon yapılabilmesi için gerekli düzenlemeler yapılmalıdır.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programında mümkünse seçmeli rotasyonlar yer almalıdır.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programında, etik değerler iletişim, ekip çalışması ve yönetim becerilerine ilişkin eğitim ve uygulamalar yer almalıdır.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programı analitik, eleştirel düşünmeyi geliştirecek, bilimsel araştırma yöntemlerini içerecek şekilde planlanmalıdır. Öğrencilerin bilimsel düşünme ve araştırma yöntemleri konusunda bilgi edinmeleri için eğitimin farklı evrelerinde araştırma yöntemleri, biyoistatistik, makale yazma, yayın etiği vb. konularını sistematik öğrenme fırsatları yaratılmalıdır.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programı kanıta dayalı tıp uygulamalarını içermelidir. Uzmanlık öğrencilerinin, karşılaşacakları preanalitik, analitik ve postanalitik sorunları çözme süreçlerinde tıbbi kanıt ve deneyimleri kullanabilme becerilerini geliştirecek kuramsal ve uygulamalı etkinlikler eğitim programında yer almalıdır.</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 uzmanlık öğrencilerine sürekli mesleksel gelişim ve yaşam boyu öğrenme becerisi kazandırmalıdır.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360" w:lineRule="auto"/>
        <w:ind w:left="567" w:right="0" w:hanging="567"/>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programı, uzmanlık öğrencilerinin tıbbi laboratuvar hizmeti sunumunda sağlık hizmetleri ekibinin bir üyesi olarak etkin şekilde çalışabilmesi için disiplinler ve meslekler arası işbirliğini öğrenmesini sağlamalıdır.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ÖLÇME VE DEĞERLENDİRME</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kurumunda, kullanılan ölçme-değerlendirme yöntem ve ölçütleri belirlenmeli, yıllara ve aşamalara göre kullanımı açıkça tanımlanmalı, yayınlanmalı, uzmanlık öğrencileri ve eğiticiler tarafından bilinmelidir. </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Ölçme ve değerlendirme için kullanılan yöntemlerin eğitim amaçları ile uyumlu olması, geçerlik ve güvenilirliğinin sağlanması için gerekli  düzenlemeler yapılmalıdır.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Uzmanlık eğitimi süresince, kazanılması gereken girişimsel yetkinliklere yönelik olarak uzmanlık eğitimi kayıt belgeleri (karne/portfolyo) kullanılmalı ve belirli aralıklar ile eğiticiler tarafından değerlendirilmelidir.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Uzmanlık öğrencilerine eğitim sürecinde,  kuramsal bilgi ve laboratuvar becerileri sınamaya yönelik olarak yılda en az bir yazılı sınav ve beceri değerlendirilmesi yapılmalıdır.</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Ölçme ve değerlendirme, öğrenmeyi destekleyecek şekilde planlanmalıdır. Uygulamaların özellikle öğrenenlerin performansını arttırmak yönünde motive edici ve verilen geri bildirimle geliştirici etkisi önemlidir. </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kurumunda, uzmanlık öğrencilerinin bireysel gelişimleri izlenerek geri bildirim verilmelidir. Her uzmanlık öğrencisinin gelişiminin, eğiticiler tarafından sistemli ve düzenli olarak değerlendirilmesi; uzmanlık öğrencisi ile yeterli sıklık, süre ve derinlikte, eğitim amaçlarına uygunluğun dikkate alındığı, mesleki gelişimi değerlendirme oturumları yapılmalıdır.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UZMANLIK ÖĞRENCİLERİ</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  uyguladığı eğitim programı temelinde kurumsal olanakları doğrultusunda en etkin eğitim verebileceği azami uzmanlık öğrencisi sayısını belirlemiş olmalıdır. </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 eğitim ile ilgili tüm süreçlerde uzmanlık öğrencisinin temsiliyetini  ve katılımını sağlamalıdır. </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Uzmanlık öğrencilerinin özlük hakları, görev yetki ve sorumluluklarını tanımlanmalı ve bildirilmelidir. </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Uzmanlık eğitiminde, eğitim ve hizmet dengesi gözetilmelidir.</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Uzmanlık öğrencilerinin çalıştığı ortamdaki mesleki riskler kabul edilebilir düzeylere indirilmiş olmalıdır.</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EĞİTİM PROGRAMININ DEĞERLENDİRİLMESİ VE GELİŞTİRİLMESİ</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Uzmanlık eğitim programının tüm bileşenleri düzenli olarak gözden geçirilmeli ve güncellenmelidir. </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Eğiticiler ve tıpta uzmanlık öğrencilerinden en az yılda bir kez anonim olarak yazılı geri bildirimler alınmalı ve sonuçlar programın iyileştirilmesi yönünde kullanmalıdır.</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kurumundan uzmanlığını alanların, uzmanlık eğitiminin meslek yaşamlarına olan etkisi değerlendirilmeli ve sonuçlar programın iyileştirilmesi yönünde kullanmalıdır.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360" w:lineRule="auto"/>
        <w:ind w:left="567" w:right="0" w:hanging="567"/>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 eğitim programının izlenmesi ile ilgili sonuçları eğiticiler, uzmanlık öğrencileri ve gerektiğinde fakülte/hastane yönetimi ile paylaşmalıdır.   </w:t>
      </w:r>
      <w:r w:rsidDel="00000000" w:rsidR="00000000" w:rsidRPr="00000000">
        <w:rPr>
          <w:rtl w:val="0"/>
        </w:rPr>
      </w:r>
    </w:p>
    <w:p w:rsidR="00000000" w:rsidDel="00000000" w:rsidP="00000000" w:rsidRDefault="00000000" w:rsidRPr="00000000" w14:paraId="0000004D">
      <w:pPr>
        <w:spacing w:after="0" w:line="360" w:lineRule="auto"/>
        <w:rPr>
          <w:b w:val="1"/>
          <w:bCs w:val="1"/>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YÖNETİM VE YÜRÜTME </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kurumunun yönetim yapısı, örgütlenme şeması ve fakülte/hastane ile ilişkileri tanımlanmış olmalıdır.  </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kurumunun yönetim yapısı içinde anabilim dalı başkanı/eğitim sorumlusu, diğer eğiticiler, varsa eğitim ile ilgili kurulların görev, yetki ve sorumlulukları tanımlanmış olmalıdır.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kurumunda, eğitimle ilgili karar ve süreçler belgelenmeli ve düzenli bir kayıt ve dokümantasyon sistemi bulunmalıdır. </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kurumunda, uzmanlık eğitimi ile ilgili süreçlerinin yürütülmesinde gerekli sekreterlik desteğini sağlayacak bir yapı bulunmalıdır. </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567" w:right="0" w:hanging="567"/>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Eğitim kurumu, uzmanlık alanı ile ilgili olarak, ulusal ve uluslararası kurum, kuruluş, meslek örgütleri, sivil toplum kuruluşları, gönüllü organizasyonlar ve toplumla yapıcı bir etkileşim içinde olmalıdır</w:t>
      </w: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libri" w:cs="Calibri" w:eastAsia="Calibri" w:hAnsi="Calibri"/>
          <w:b w:val="1"/>
          <w:bCs w:val="1"/>
          <w:i w:val="0"/>
          <w:iCs w:val="0"/>
          <w:smallCaps w:val="0"/>
          <w:strike w:val="0"/>
          <w:color w:val="000000"/>
          <w:sz w:val="22"/>
          <w:szCs w:val="22"/>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SÜREKLİ YENİLENME</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792" w:right="0" w:hanging="432"/>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Uzmanlık eğitim programının yapı, işlev ve niteliği düzenli olarak gözden geçirilmeli, güncellenmeli ve belirlenen eksiklikler düzeltilmelidir. </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792" w:right="0" w:hanging="432"/>
        <w:jc w:val="left"/>
        <w:rPr>
          <w:rFonts w:ascii="Calibri" w:cs="Calibri" w:eastAsia="Calibri" w:hAnsi="Calibri"/>
          <w:b w:val="0"/>
          <w:bCs w:val="0"/>
          <w:i w:val="0"/>
          <w:iCs w:val="0"/>
          <w:smallCaps w:val="0"/>
          <w:strike w:val="0"/>
          <w:color w:val="000000"/>
          <w:sz w:val="22"/>
          <w:szCs w:val="22"/>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Uzmanlık eğitim programındaki yenilenme süreçleri, geçmiş deneyimler, mevcut etkinlikler ve geleceğe ilişkin görüşler doğrultusunda planlanmalıdır. </w:t>
      </w:r>
      <w:r w:rsidDel="00000000" w:rsidR="00000000" w:rsidRPr="00000000">
        <w:rPr>
          <w:rtl w:val="0"/>
        </w:rPr>
      </w:r>
    </w:p>
    <w:p w:rsidR="00000000" w:rsidDel="00000000" w:rsidP="00000000" w:rsidRDefault="00000000" w:rsidRPr="00000000" w14:paraId="00000057">
      <w:pPr>
        <w:rPr/>
      </w:pPr>
      <w:bookmarkStart w:colFirst="0" w:colLast="0" w:name="_heading=h.gjdgxs" w:id="0"/>
      <w:bookmarkEnd w:id="0"/>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tabs>
          <w:tab w:val="left" w:leader="none" w:pos="3060"/>
        </w:tabs>
        <w:rPr/>
      </w:pPr>
      <w:r w:rsidDel="00000000" w:rsidR="00000000" w:rsidRPr="00000000">
        <w:rPr>
          <w:rtl w:val="0"/>
        </w:rPr>
        <w:tab/>
      </w:r>
    </w:p>
    <w:p w:rsidR="00000000" w:rsidDel="00000000" w:rsidP="00000000" w:rsidRDefault="00000000" w:rsidRPr="00000000" w14:paraId="0000005D">
      <w:pPr>
        <w:rPr/>
      </w:pPr>
      <w:r w:rsidDel="00000000" w:rsidR="00000000" w:rsidRPr="00000000">
        <w:rPr>
          <w:rtl w:val="0"/>
        </w:rPr>
      </w:r>
    </w:p>
    <w:sectPr>
      <w:headerReference r:id="rId7" w:type="default"/>
      <w:footerReference r:id="rId8" w:type="default"/>
      <w:pgSz w:h="16838" w:w="11906" w:orient="portrait"/>
      <w:pgMar w:bottom="1417" w:top="1417" w:left="1417" w:right="1417" w:header="850"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vertAlign w:val="baseline"/>
        <w:rtl w:val="0"/>
      </w:rPr>
      <w:t xml:space="preserve">Belge No: T</w:t>
    </w:r>
    <w:r w:rsidDel="00000000" w:rsidR="00000000" w:rsidRPr="00000000">
      <w:rPr>
        <w:sz w:val="20"/>
        <w:szCs w:val="20"/>
        <w:rtl w:val="0"/>
      </w:rPr>
      <w:t xml:space="preserve">BYK</w:t>
    </w:r>
    <w:r w:rsidDel="00000000" w:rsidR="00000000" w:rsidRPr="00000000">
      <w:rPr>
        <w:rFonts w:ascii="Calibri" w:cs="Calibri" w:eastAsia="Calibri" w:hAnsi="Calibri"/>
        <w:b w:val="0"/>
        <w:bCs w:val="0"/>
        <w:i w:val="0"/>
        <w:iCs w:val="0"/>
        <w:smallCaps w:val="0"/>
        <w:strike w:val="0"/>
        <w:color w:val="000000"/>
        <w:sz w:val="20"/>
        <w:szCs w:val="20"/>
        <w:u w:val="none"/>
        <w:vertAlign w:val="baseline"/>
        <w:rtl w:val="0"/>
      </w:rPr>
      <w:t xml:space="preserve">-YK/AK.0</w:t>
    </w:r>
    <w:r w:rsidDel="00000000" w:rsidR="00000000" w:rsidRPr="00000000">
      <w:rPr>
        <w:sz w:val="20"/>
        <w:szCs w:val="20"/>
        <w:rtl w:val="0"/>
      </w:rPr>
      <w:t xml:space="preserve">1</w:t>
    </w:r>
    <w:r w:rsidDel="00000000" w:rsidR="00000000" w:rsidRPr="00000000">
      <w:rPr>
        <w:rFonts w:ascii="Calibri" w:cs="Calibri" w:eastAsia="Calibri" w:hAnsi="Calibri"/>
        <w:b w:val="0"/>
        <w:bCs w:val="0"/>
        <w:i w:val="0"/>
        <w:iCs w:val="0"/>
        <w:smallCaps w:val="0"/>
        <w:strike w:val="0"/>
        <w:color w:val="000000"/>
        <w:sz w:val="20"/>
        <w:szCs w:val="20"/>
        <w:u w:val="none"/>
        <w:vertAlign w:val="baseline"/>
        <w:rtl w:val="0"/>
      </w:rPr>
      <w:tab/>
      <w:tab/>
    </w:r>
    <w:r w:rsidDel="00000000" w:rsidR="00000000" w:rsidRPr="00000000">
      <w:rPr>
        <w:rFonts w:ascii="Calibri" w:cs="Calibri" w:eastAsia="Calibri" w:hAnsi="Calibri"/>
        <w:b w:val="1"/>
        <w:bCs w:val="1"/>
        <w:i w:val="0"/>
        <w:iCs w:val="0"/>
        <w:smallCaps w:val="0"/>
        <w:strike w:val="0"/>
        <w:color w:val="000000"/>
        <w:sz w:val="22"/>
        <w:szCs w:val="22"/>
        <w:u w:val="none"/>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 </w:t>
    </w:r>
    <w:r w:rsidDel="00000000" w:rsidR="00000000" w:rsidRPr="00000000">
      <w:rPr>
        <w:rFonts w:ascii="Calibri" w:cs="Calibri" w:eastAsia="Calibri" w:hAnsi="Calibri"/>
        <w:b w:val="1"/>
        <w:bCs w:val="1"/>
        <w:i w:val="0"/>
        <w:iCs w:val="0"/>
        <w:smallCaps w:val="0"/>
        <w:strike w:val="0"/>
        <w:color w:val="000000"/>
        <w:sz w:val="22"/>
        <w:szCs w:val="22"/>
        <w:u w:val="none"/>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vertAlign w:val="baseline"/>
        <w:rtl w:val="0"/>
      </w:rPr>
      <w:t xml:space="preserve">Güncelleme No/Tarihi: 0</w:t>
    </w:r>
    <w:r w:rsidDel="00000000" w:rsidR="00000000" w:rsidRPr="00000000">
      <w:rPr>
        <w:sz w:val="20"/>
        <w:szCs w:val="20"/>
        <w:rtl w:val="0"/>
      </w:rPr>
      <w:t xml:space="preserve">1</w:t>
    </w:r>
    <w:r w:rsidDel="00000000" w:rsidR="00000000" w:rsidRPr="00000000">
      <w:rPr>
        <w:rFonts w:ascii="Calibri" w:cs="Calibri" w:eastAsia="Calibri" w:hAnsi="Calibri"/>
        <w:b w:val="0"/>
        <w:bCs w:val="0"/>
        <w:i w:val="0"/>
        <w:iCs w:val="0"/>
        <w:smallCaps w:val="0"/>
        <w:strike w:val="0"/>
        <w:color w:val="000000"/>
        <w:sz w:val="20"/>
        <w:szCs w:val="20"/>
        <w:u w:val="none"/>
        <w:vertAlign w:val="baseline"/>
        <w:rtl w:val="0"/>
      </w:rPr>
      <w:t xml:space="preserve">/</w:t>
    </w:r>
    <w:r w:rsidDel="00000000" w:rsidR="00000000" w:rsidRPr="00000000">
      <w:rPr>
        <w:sz w:val="20"/>
        <w:szCs w:val="20"/>
        <w:rtl w:val="0"/>
      </w:rPr>
      <w:t xml:space="preserve">16.01.2026</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b w:val="1"/>
        <w:bCs w:val="1"/>
        <w:sz w:val="28"/>
        <w:szCs w:val="28"/>
      </w:rPr>
    </w:pPr>
    <w:r w:rsidDel="00000000" w:rsidR="00000000" w:rsidRPr="00000000">
      <w:rPr>
        <w:b w:val="1"/>
        <w:bCs w:val="1"/>
        <w:sz w:val="28"/>
        <w:szCs w:val="28"/>
        <w:rtl w:val="0"/>
      </w:rPr>
      <w:tab/>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b w:val="1"/>
        <w:bCs w:val="1"/>
        <w:sz w:val="28"/>
        <w:szCs w:val="28"/>
      </w:rPr>
    </w:pPr>
    <w:r w:rsidDel="00000000" w:rsidR="00000000" w:rsidRPr="00000000">
      <w:rPr>
        <w:rtl w:val="0"/>
      </w:rPr>
    </w:r>
  </w:p>
  <w:p w:rsidR="00000000" w:rsidDel="00000000" w:rsidP="00000000" w:rsidRDefault="00000000" w:rsidRPr="00000000" w14:paraId="00000060">
    <w:pPr>
      <w:tabs>
        <w:tab w:val="center" w:leader="none" w:pos="4536"/>
        <w:tab w:val="right" w:leader="none" w:pos="9072"/>
      </w:tabs>
      <w:spacing w:after="0" w:line="240" w:lineRule="auto"/>
      <w:jc w:val="center"/>
      <w:rPr>
        <w:b w:val="1"/>
        <w:bCs w:val="1"/>
        <w:sz w:val="28"/>
        <w:szCs w:val="28"/>
      </w:rPr>
    </w:pPr>
    <w:r w:rsidDel="00000000" w:rsidR="00000000" w:rsidRPr="00000000">
      <w:rPr>
        <w:b w:val="1"/>
        <w:bCs w:val="1"/>
        <w:sz w:val="28"/>
        <w:szCs w:val="28"/>
      </w:rPr>
      <w:drawing>
        <wp:inline distB="114300" distT="114300" distL="114300" distR="114300">
          <wp:extent cx="1484313" cy="148431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84313" cy="1484313"/>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b w:val="1"/>
        <w:bCs w:val="1"/>
        <w:sz w:val="28"/>
        <w:szCs w:val="28"/>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TIBBİ BİYOKİMYA YETERLİK KURULU</w:t>
      <w:tab/>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b w:val="1"/>
        <w:bCs w:val="1"/>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ListeParagraf">
    <w:name w:val="List Paragraph"/>
    <w:basedOn w:val="Normal"/>
    <w:uiPriority w:val="34"/>
    <w:qFormat w:val="1"/>
    <w:rsid w:val="00751570"/>
    <w:pPr>
      <w:spacing w:after="200" w:line="276" w:lineRule="auto"/>
      <w:ind w:left="720"/>
      <w:contextualSpacing w:val="1"/>
    </w:pPr>
  </w:style>
  <w:style w:type="paragraph" w:styleId="Default" w:customStyle="1">
    <w:name w:val="Default"/>
    <w:rsid w:val="00751570"/>
    <w:pPr>
      <w:autoSpaceDE w:val="0"/>
      <w:autoSpaceDN w:val="0"/>
      <w:adjustRightInd w:val="0"/>
      <w:spacing w:after="0" w:line="240" w:lineRule="auto"/>
    </w:pPr>
    <w:rPr>
      <w:rFonts w:ascii="Calibri" w:cs="Calibri" w:eastAsia="Calibri" w:hAnsi="Calibri"/>
      <w:color w:val="000000"/>
      <w:sz w:val="24"/>
      <w:szCs w:val="24"/>
      <w:lang w:eastAsia="tr-TR"/>
    </w:rPr>
  </w:style>
  <w:style w:type="paragraph" w:styleId="stbilgi">
    <w:name w:val="header"/>
    <w:basedOn w:val="Normal"/>
    <w:link w:val="stbilgiChar"/>
    <w:uiPriority w:val="99"/>
    <w:unhideWhenUsed w:val="1"/>
    <w:rsid w:val="00751570"/>
    <w:pPr>
      <w:tabs>
        <w:tab w:val="center" w:pos="4536"/>
        <w:tab w:val="right" w:pos="9072"/>
      </w:tabs>
      <w:spacing w:after="0" w:line="240" w:lineRule="auto"/>
    </w:pPr>
  </w:style>
  <w:style w:type="character" w:styleId="stbilgiChar" w:customStyle="1">
    <w:name w:val="Üstbilgi Char"/>
    <w:basedOn w:val="VarsaylanParagrafYazTipi"/>
    <w:link w:val="stbilgi"/>
    <w:uiPriority w:val="99"/>
    <w:rsid w:val="00751570"/>
  </w:style>
  <w:style w:type="paragraph" w:styleId="Altbilgi">
    <w:name w:val="footer"/>
    <w:basedOn w:val="Normal"/>
    <w:link w:val="AltbilgiChar"/>
    <w:uiPriority w:val="99"/>
    <w:unhideWhenUsed w:val="1"/>
    <w:rsid w:val="00751570"/>
    <w:pPr>
      <w:tabs>
        <w:tab w:val="center" w:pos="4536"/>
        <w:tab w:val="right" w:pos="9072"/>
      </w:tabs>
      <w:spacing w:after="0" w:line="240" w:lineRule="auto"/>
    </w:pPr>
  </w:style>
  <w:style w:type="character" w:styleId="AltbilgiChar" w:customStyle="1">
    <w:name w:val="Altbilgi Char"/>
    <w:basedOn w:val="VarsaylanParagrafYazTipi"/>
    <w:link w:val="Altbilgi"/>
    <w:uiPriority w:val="99"/>
    <w:rsid w:val="00751570"/>
  </w:style>
  <w:style w:type="character" w:styleId="AklamaBavurusu">
    <w:name w:val="annotation reference"/>
    <w:basedOn w:val="VarsaylanParagrafYazTipi"/>
    <w:uiPriority w:val="99"/>
    <w:semiHidden w:val="1"/>
    <w:unhideWhenUsed w:val="1"/>
    <w:rsid w:val="00751570"/>
    <w:rPr>
      <w:sz w:val="16"/>
      <w:szCs w:val="16"/>
    </w:rPr>
  </w:style>
  <w:style w:type="paragraph" w:styleId="AklamaMetni">
    <w:name w:val="annotation text"/>
    <w:basedOn w:val="Normal"/>
    <w:link w:val="AklamaMetniChar"/>
    <w:uiPriority w:val="99"/>
    <w:semiHidden w:val="1"/>
    <w:unhideWhenUsed w:val="1"/>
    <w:rsid w:val="00751570"/>
    <w:pPr>
      <w:spacing w:after="200" w:line="240" w:lineRule="auto"/>
    </w:pPr>
    <w:rPr>
      <w:sz w:val="20"/>
      <w:szCs w:val="20"/>
    </w:rPr>
  </w:style>
  <w:style w:type="character" w:styleId="AklamaMetniChar" w:customStyle="1">
    <w:name w:val="Açıklama Metni Char"/>
    <w:basedOn w:val="VarsaylanParagrafYazTipi"/>
    <w:link w:val="AklamaMetni"/>
    <w:uiPriority w:val="99"/>
    <w:semiHidden w:val="1"/>
    <w:rsid w:val="00751570"/>
    <w:rPr>
      <w:sz w:val="20"/>
      <w:szCs w:val="20"/>
    </w:rPr>
  </w:style>
  <w:style w:type="paragraph" w:styleId="BalonMetni">
    <w:name w:val="Balloon Text"/>
    <w:basedOn w:val="Normal"/>
    <w:link w:val="BalonMetniChar"/>
    <w:uiPriority w:val="99"/>
    <w:semiHidden w:val="1"/>
    <w:unhideWhenUsed w:val="1"/>
    <w:rsid w:val="00751570"/>
    <w:pPr>
      <w:spacing w:after="0" w:line="240" w:lineRule="auto"/>
    </w:pPr>
    <w:rPr>
      <w:rFonts w:ascii="Segoe UI" w:cs="Segoe UI" w:hAnsi="Segoe UI"/>
      <w:sz w:val="18"/>
      <w:szCs w:val="18"/>
    </w:rPr>
  </w:style>
  <w:style w:type="character" w:styleId="BalonMetniChar" w:customStyle="1">
    <w:name w:val="Balon Metni Char"/>
    <w:basedOn w:val="VarsaylanParagrafYazTipi"/>
    <w:link w:val="BalonMetni"/>
    <w:uiPriority w:val="99"/>
    <w:semiHidden w:val="1"/>
    <w:rsid w:val="00751570"/>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IbED3Y0dhtarTn/02nGce5Qy5g==">CgMxLjAyCGguZ2pkZ3hzOAByITE1aGdLNmFXV3VkRnV1dktHTHo4M2RFWTl5cjNlRzZFZQ==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2019-03-26T12:19:00Z</dcterms:created>
  <dc:creator>asus</dc:creator>
</cp:coreProperties>
</file>